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902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2713"/>
        <w:gridCol w:w="5100"/>
        <w:gridCol w:w="947"/>
        <w:gridCol w:w="1779"/>
        <w:gridCol w:w="7361"/>
      </w:tblGrid>
      <w:tr w14:paraId="7CF16C6E">
        <w:trPr>
          <w:trHeight w:val="450" w:hRule="atLeast"/>
        </w:trPr>
        <w:tc>
          <w:tcPr>
            <w:tcW w:w="1121" w:type="dxa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4874CB"/>
            <w:vAlign w:val="center"/>
          </w:tcPr>
          <w:p w14:paraId="17CA2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核心环节</w:t>
            </w:r>
          </w:p>
        </w:tc>
        <w:tc>
          <w:tcPr>
            <w:tcW w:w="2716" w:type="dxa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4874CB"/>
            <w:vAlign w:val="center"/>
          </w:tcPr>
          <w:p w14:paraId="418C5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具体项</w:t>
            </w:r>
          </w:p>
        </w:tc>
        <w:tc>
          <w:tcPr>
            <w:tcW w:w="5106" w:type="dxa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4874CB"/>
            <w:vAlign w:val="center"/>
          </w:tcPr>
          <w:p w14:paraId="45473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补充说明</w:t>
            </w:r>
          </w:p>
        </w:tc>
        <w:tc>
          <w:tcPr>
            <w:tcW w:w="948" w:type="dxa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4874CB"/>
            <w:vAlign w:val="center"/>
          </w:tcPr>
          <w:p w14:paraId="1A6C8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  <w:bookmarkStart w:id="0" w:name="_GoBack"/>
            <w:bookmarkEnd w:id="0"/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否必填</w:t>
            </w:r>
          </w:p>
        </w:tc>
        <w:tc>
          <w:tcPr>
            <w:tcW w:w="1780" w:type="dxa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4874CB"/>
            <w:vAlign w:val="center"/>
          </w:tcPr>
          <w:p w14:paraId="6EBB8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格式要求</w:t>
            </w:r>
          </w:p>
        </w:tc>
        <w:tc>
          <w:tcPr>
            <w:tcW w:w="7367" w:type="dxa"/>
            <w:tcBorders>
              <w:top w:val="nil"/>
              <w:left w:val="single" w:color="FFFFFF" w:sz="8" w:space="0"/>
              <w:bottom w:val="nil"/>
              <w:right w:val="nil"/>
            </w:tcBorders>
            <w:shd w:val="clear" w:color="auto" w:fill="4874CB"/>
            <w:vAlign w:val="center"/>
          </w:tcPr>
          <w:p w14:paraId="0E20C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示例</w:t>
            </w:r>
          </w:p>
        </w:tc>
      </w:tr>
      <w:tr w14:paraId="0CEDDF4B">
        <w:trPr>
          <w:trHeight w:val="8180" w:hRule="atLeast"/>
        </w:trPr>
        <w:tc>
          <w:tcPr>
            <w:tcW w:w="1121" w:type="dxa"/>
            <w:vMerge w:val="restart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5F7AC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4"/>
                <w:szCs w:val="24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输入层</w:t>
            </w:r>
          </w:p>
        </w:tc>
        <w:tc>
          <w:tcPr>
            <w:tcW w:w="2716" w:type="dxa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07AC6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数据资源表</w:t>
            </w:r>
          </w:p>
        </w:tc>
        <w:tc>
          <w:tcPr>
            <w:tcW w:w="5106" w:type="dxa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24194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需包含数据资源核心元数据内容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（可通过企业数字化平台后台数据字典查看结构化表单、或通过输入核心字段以达到概况式简要了解数据内容；注：提供的信息越详细，最终反馈结果越精准）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一般包含以下字段：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字段名称：specification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字段含义：规格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类型：varchar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长度：50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是否主键：否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是否为空：否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描述：用以描述产品的功能参数，如性能指标、技术规格、兼容性要求等</w:t>
            </w:r>
          </w:p>
        </w:tc>
        <w:tc>
          <w:tcPr>
            <w:tcW w:w="948" w:type="dxa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4799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0" w:type="dxa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43DC4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企业现有的旧数据字典、数据库导出的原始表结构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Excel上传、文件包上传。</w:t>
            </w:r>
          </w:p>
        </w:tc>
        <w:tc>
          <w:tcPr>
            <w:tcW w:w="7367" w:type="dxa"/>
            <w:tcBorders>
              <w:top w:val="nil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EBF0FA"/>
            <w:vAlign w:val="center"/>
          </w:tcPr>
          <w:p w14:paraId="48CF8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方案一：提供《数据字典》/《数据库详细设计说明书》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适用场景：有数据库详细设计说明书，上传。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方案二：IT 协助的“一键脚本”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适用场景：企业有内部 IT 或系统供应商支持。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方案：提供SQL脚本，一键导出全部表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SELECT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TABLE_NAME AS '表英文名',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TABLE_COMMENT AS '表中文名/描述',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COLUMN_NAME AS '字段英文名',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COLUMN_COMMENT AS '字段中文名',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COLUMN_TYPE AS '字段类型'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FROM information_schema.COLUMNS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WHERE TABLE_SCHEMA = '您的数据库名';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方案三：业务手动导出关键表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适用场景：使用标准 SaaS 软件（如金蝶、用友、Salesforce、微盟等），且无法接触数据库。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操作逻辑：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手动导出产生核心资产价值的通常只有 20-30 张（订单、会员、商品、库存、日志）。”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提供清单：我们提供一份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“通用行业核心表清单”（Checklist）【勇哥结合AI拿】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“请帮我导出：1. 订单主表；2. 订单明细表；3. 会员信息表；4. 商品基础表...”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工作量：业务人员只需要手动导出这 20 个 Excel 文件。耗时约 30-60 分钟。</w:t>
            </w:r>
          </w:p>
        </w:tc>
      </w:tr>
      <w:tr w14:paraId="2B509A3D">
        <w:trPr>
          <w:trHeight w:val="1140" w:hRule="atLeast"/>
        </w:trPr>
        <w:tc>
          <w:tcPr>
            <w:tcW w:w="1121" w:type="dxa"/>
            <w:vMerge w:val="continue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094076D1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4"/>
                <w:szCs w:val="24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77A35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企业及主营业务简介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74905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需明确企业间接、核心商业模式，便于匹配行业数据资产标准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15AF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002B2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文本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（100-300字）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EBF0FA"/>
            <w:vAlign w:val="center"/>
          </w:tcPr>
          <w:p w14:paraId="2B67B1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某连锁零售企业，主营生鲜+日用品线下零售+线上O2O配送，50家门店+100万小程序用户，核心模式“线下体验+线上履约“，目标数据驱动优化供应链与营销</w:t>
            </w:r>
          </w:p>
        </w:tc>
      </w:tr>
      <w:tr w14:paraId="66386614">
        <w:trPr>
          <w:trHeight w:val="900" w:hRule="atLeast"/>
        </w:trPr>
        <w:tc>
          <w:tcPr>
            <w:tcW w:w="1121" w:type="dxa"/>
            <w:vMerge w:val="continue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20E3A3C3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4"/>
                <w:szCs w:val="24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3EB70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所属行业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0600F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行业关乎后续行业知识库、敏感词库、重要数据识别、数据合规规则匹配，以及不同行业的场景模版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2FBC0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06166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复选框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（支持多选）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EBF0FA"/>
            <w:vAlign w:val="center"/>
          </w:tcPr>
          <w:p w14:paraId="49980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第一组：强监管与高敏感类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此类行业涉及大量核心数据、重要数据，合规红线最高，AI 需加载最严格的 PII 和敏感词库。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金融 / 金融科技 (银行、保险、证券、消费金融、支付)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医疗健康 / 生物医药 (医院、药企、互联网医疗、基因检测)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政务与公共服务 (智慧城市、水电煤气、公共交通)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通信与运营商 (基础电信、ISP)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第二组：数字经济与大消费类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此类行业涉及海量个人信息（PII）和用户行为数据，主要价值在于营销和画像。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零售与电商 (商超百货、电商平台、品牌DTC、无人零售)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生活服务 / O2O (餐饮、酒旅、外卖、家政)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互联网内容与社交 (音视频、游戏、社交平台、在线教育)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房地产与物业 (商业地产、物业管理、房屋中介)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第三组：实体产业与高端制造类 (Industrial &amp; Manufacturing)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此类行业个人信息较少，但涉及企业核心商业秘密、工业参数、以及潜在的“重要数据”。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智能网联汽车 (整车制造、车联网平台、自动驾驶)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能源与化工 (电力、石油、新能源、化工生产)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物流与供应链 (快递快运、仓储冷链、货运代理)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电子信息与高端制造 (芯片半导体、消费电子、机械装备)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第四组：专业服务与技术类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作为数据加工者或技术提供方。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软件与信息技术服务 (SaaS、系统集成、大数据服务)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商务服务与咨询 (人力资源、法律、财税、咨询)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[ ] 科研与技术服务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 w14:paraId="43DFA65F">
        <w:trPr>
          <w:trHeight w:val="900" w:hRule="atLeast"/>
        </w:trPr>
        <w:tc>
          <w:tcPr>
            <w:tcW w:w="1121" w:type="dxa"/>
            <w:vMerge w:val="continue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34D679FE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4"/>
                <w:szCs w:val="24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2EBAD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数据来源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6C5291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填写来源类型并勾选是否包含敏感数据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49D29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5221C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复选框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（支持多选）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EBF0FA"/>
            <w:vAlign w:val="center"/>
          </w:tcPr>
          <w:p w14:paraId="36D16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选项：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1.企业自行采集或生成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2.企业外购获得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3.公开收集（如爬取）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4.经授权运营的公共数据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5.其他-涵盖个人敏感信息数据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6.其他-涵盖商业秘密数据</w:t>
            </w:r>
          </w:p>
        </w:tc>
      </w:tr>
      <w:tr w14:paraId="438C7343">
        <w:trPr>
          <w:trHeight w:val="2340" w:hRule="atLeast"/>
        </w:trPr>
        <w:tc>
          <w:tcPr>
            <w:tcW w:w="1121" w:type="dxa"/>
            <w:vMerge w:val="continue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47073145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4"/>
                <w:szCs w:val="24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7A9ED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数字化平台简介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1F158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明确现有系统类型、核心功能，判断数据产生场景与关联关系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推荐用户直接上传平台功能清单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7338D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03999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文本填写或支持Excel上传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EBF0FA"/>
            <w:vAlign w:val="center"/>
          </w:tcPr>
          <w:p w14:paraId="0508C3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表单填写示例：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 线上商城小程序：注册/下单/售后；沉淀数据涵盖：用户注册信息数据、商品订单数据、售后申请及处理记录数据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线下POS系统：收银/库存扣减；沉淀数据涵盖：门店销售流水数据、商品库存变动数据、会员积分核销数据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 SCM系统：供应商/采购/物流；沉淀数据涵盖：供应商信息数据、采购订单数据、物流运输轨迹及签收数据</w:t>
            </w:r>
          </w:p>
        </w:tc>
      </w:tr>
      <w:tr w14:paraId="608C6675">
        <w:trPr>
          <w:trHeight w:val="1460" w:hRule="atLeast"/>
        </w:trPr>
        <w:tc>
          <w:tcPr>
            <w:tcW w:w="1121" w:type="dxa"/>
            <w:vMerge w:val="continue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56F41DBE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4"/>
                <w:szCs w:val="24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78116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数据存储及管控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01618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填写数据是否由企业自行掌握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51E85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5D250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复选框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（单选）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EBF0FA"/>
            <w:vAlign w:val="center"/>
          </w:tcPr>
          <w:p w14:paraId="23C8C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1.企业自主存储管控（如：私有化服务器部署）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2.委托第三方机构存储管控（如：合作云服务商托管、第三方数据中心代存等）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3.其他（如：数据存放于合作方系统内，企业无法直接掌握）</w:t>
            </w:r>
          </w:p>
        </w:tc>
      </w:tr>
      <w:tr w14:paraId="37696A93">
        <w:trPr>
          <w:trHeight w:val="1140" w:hRule="atLeast"/>
        </w:trPr>
        <w:tc>
          <w:tcPr>
            <w:tcW w:w="1121" w:type="dxa"/>
            <w:vMerge w:val="continue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1C6E50F9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4"/>
                <w:szCs w:val="24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0B592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数据规模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3627B8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明确单位，以判断价值留存策略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547F5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44CC1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文本填空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EBF0FA"/>
            <w:vAlign w:val="center"/>
          </w:tcPr>
          <w:p w14:paraId="2C876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存量500GB，增量0.5GB/天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数据条数：3.9万条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存储周期：自2023年1月1日至2025年12月31日</w:t>
            </w:r>
          </w:p>
        </w:tc>
      </w:tr>
      <w:tr w14:paraId="1735142F">
        <w:trPr>
          <w:trHeight w:val="1540" w:hRule="atLeast"/>
        </w:trPr>
        <w:tc>
          <w:tcPr>
            <w:tcW w:w="1121" w:type="dxa"/>
            <w:vMerge w:val="continue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23DCF185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4"/>
                <w:szCs w:val="24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52DA2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当前数据应用场景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7BC44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描述数据现有使用场景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50A6C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3F90E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文本+截屏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（100-300字）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EBF0FA"/>
            <w:vAlign w:val="center"/>
          </w:tcPr>
          <w:p w14:paraId="51C3AF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建议按照“场景名称+使用目的+当前效果（如有）”形式：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场景：会员精准营销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目的：分析消费偏好推券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效果：核销率提升15%，复购率提升8%</w:t>
            </w:r>
          </w:p>
        </w:tc>
      </w:tr>
      <w:tr w14:paraId="5CFA370E">
        <w:trPr>
          <w:trHeight w:val="1540" w:hRule="atLeast"/>
        </w:trPr>
        <w:tc>
          <w:tcPr>
            <w:tcW w:w="1121" w:type="dxa"/>
            <w:vMerge w:val="restart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11EE0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处理层</w:t>
            </w: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4EA19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识别存量场景和潜在应用场景清单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6EC42C6B">
            <w:pPr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210B19F0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02C27795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D9E1F4"/>
            <w:vAlign w:val="center"/>
          </w:tcPr>
          <w:p w14:paraId="6659C7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1.供给侧考虑：根据数据资源表的表明、输入的行业和业务情况；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2.需求侧考虑：对主营业务有价值，或数据自身价值很高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生成场景清单（供用户先行选择）</w:t>
            </w:r>
          </w:p>
        </w:tc>
      </w:tr>
      <w:tr w14:paraId="1A31F25F">
        <w:trPr>
          <w:trHeight w:val="7420" w:hRule="atLeast"/>
        </w:trPr>
        <w:tc>
          <w:tcPr>
            <w:tcW w:w="1121" w:type="dxa"/>
            <w:vMerge w:val="continue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093E221D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5DB77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数据资产筛选器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6F519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从上千张数据表中找到存量、潜在数据场景所覆盖的表，旨在从“千表”中精准定位到“资产相关的几十张表”。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6EC51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3852F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D9E1F4"/>
            <w:vAlign w:val="center"/>
          </w:tcPr>
          <w:p w14:paraId="48C8C0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不要一次性把所有字段都给 AI。先用“目录”筛，再用“详情”读。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第一层筛选：基于“表清单”的粗筛 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Input：仅输入表名和表注释（如果也没有注释，就只输表名）。不包含字段信息。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数据量级：1000 行文本，非常轻量。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Process (规则+轻量AI)：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1.规则清洗（Rule-based）：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剔除系统表：直接过滤掉以 sys_, tmp_, log_, bak_ 开头的表。这些通常是系统运行日志或备份，不构成业务资产。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剔除空表/冷表：如果元数据中包含 row_count（行数）或 update_time，直接剔除行数为 0 或近一年无更新的表。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2.业务域归类（Keyword Matching）：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建立关键词库：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用户域：user, member, cust, vip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交易域：order, pay, trans, deal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商品域：product, item, sku, stock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操作：只要表名命中关键词，标记为 High Relevance。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Output：从 1000 张表中，圈定出 100-200 张“疑似业务表”候选清单。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第二层筛选：基于“场景”的语义聚焦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Input：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用户的场景描述（如：“我想做客户流失预警”）。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上一轮筛选出的 200 张候选表名 + 表注释。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Process (AI推理)：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Prompt 设计思路：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“我是数据资产专家，现在要进行‘客户流失预警’分析。请从以下 200 张表中，挑选出最可能包含‘用户基础信息’、‘交易记录’、‘售后行为’的 20 张核心表。请只返回表名。”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AI 的作用：利用语义理解，识别出 t_crm_01 可能比 t_base_info 更像 CRM 核心表（如果有注释辅助）。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Output：锁定 10-20 张“核心目标表”。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第三层精细化：获取“目标表”的完整结构 (Schema Fetching)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Input：仅针对这 10-20 张核心表，获取其完整字段信息（列名、类型、注释）。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Process：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此时再让 AI 进行字段级的分析（如字段翻译、补全）。</w:t>
            </w:r>
          </w:p>
        </w:tc>
      </w:tr>
      <w:tr w14:paraId="726C134E">
        <w:trPr>
          <w:trHeight w:val="2160" w:hRule="atLeast"/>
        </w:trPr>
        <w:tc>
          <w:tcPr>
            <w:tcW w:w="1121" w:type="dxa"/>
            <w:vMerge w:val="continue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4E5A4FED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44A64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数据资源表补全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0EBA6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基于表单整体内容及行业术语，自动补全缺失的元数据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0F963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6808E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D9E1F4"/>
            <w:vAlign w:val="center"/>
          </w:tcPr>
          <w:p w14:paraId="09F3F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【角色】：你是一位资深的数据治理专家，精通数据库命名规范。 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【任务】：请根据提供的 JSON 格式原始元数据，推断并补全缺失的内容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【要求】：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标准中文名要通俗易懂。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业务口径描述需解释该字段在业务中的作用。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输出为 JSON 格式。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后续补充的内容请标蓝，予以明示。</w:t>
            </w:r>
          </w:p>
        </w:tc>
      </w:tr>
      <w:tr w14:paraId="201348C8">
        <w:trPr>
          <w:trHeight w:val="2160" w:hRule="atLeast"/>
        </w:trPr>
        <w:tc>
          <w:tcPr>
            <w:tcW w:w="1121" w:type="dxa"/>
            <w:vMerge w:val="continue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7DF50604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7B77B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识别重要数据、个人信息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259C75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合规扫描，扫描到疑似的进行标注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025D0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421D1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D9E1F4"/>
            <w:vAlign w:val="center"/>
          </w:tcPr>
          <w:p w14:paraId="68FB26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婕给匹配规则+1.0正则匹配库，比如个人信息字段名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1.个人信息 (PII)：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识别逻辑：识别规则+正则匹配。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通过AI理解规则自行标注，并正则匹配字段名（如 mobile, id_card, email, address）或字段注释（如“手机号”、“身份证”），进行补充。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2.重要数据：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识别逻辑：识别逻辑：识别规则+正则匹配。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需要行业特定规则。例如在汽车行业，“车辆轨迹”、“高清地图数据”是重要数据。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实现：用户在输入层选择“行业”（如：汽车/金融），工具加载对应的“行业重要数据目录特征库”进行匹配。</w:t>
            </w:r>
          </w:p>
        </w:tc>
      </w:tr>
      <w:tr w14:paraId="743848C5">
        <w:trPr>
          <w:trHeight w:val="2160" w:hRule="atLeast"/>
        </w:trPr>
        <w:tc>
          <w:tcPr>
            <w:tcW w:w="1121" w:type="dxa"/>
            <w:vMerge w:val="continue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0E3313A2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03E4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数据资产盘点工作总结梳理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6D8F9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基于输入的信息进行工作回报总结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5D767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0F0E1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D9E1F4"/>
            <w:vAlign w:val="center"/>
          </w:tcPr>
          <w:p w14:paraId="0D765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【季哥进一步优化提示词】</w:t>
            </w:r>
          </w:p>
        </w:tc>
      </w:tr>
      <w:tr w14:paraId="2AF4A4B6">
        <w:trPr>
          <w:trHeight w:val="5760" w:hRule="atLeast"/>
        </w:trPr>
        <w:tc>
          <w:tcPr>
            <w:tcW w:w="1121" w:type="dxa"/>
            <w:vMerge w:val="continue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3EC712CC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2F3AE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存量数据场景优化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155E17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数据字段 + 行业Know-how = 潜在资产场景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逻辑：检测到有“用户ID”、“消费金额”、“消费时间”，且行业为“零售”。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推理：自动推荐“RFM模型分析”、“高价值客户流失预警”等场景。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生成内容：每个场景需包含【场景名称】、【依赖数据字段】、【业务价值】。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4D544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2C770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D9E1F4"/>
            <w:vAlign w:val="center"/>
          </w:tcPr>
          <w:p w14:paraId="699AE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Style w:val="5"/>
                <w:bdr w:val="none" w:color="auto" w:sz="0" w:space="0"/>
                <w:lang w:val="en-US" w:eastAsia="zh-CN" w:bidi="ar"/>
              </w:rPr>
              <w:t>【季哥进一步优化提示词】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# Role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你是一名专注于企业数据资产运营的资深顾问。你擅长透过现象看本质（数据资产的缺位或维度缺失），并能提出具体的业务价值提升建议。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# Task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请根据提供的【目前数据应用场景信息及截屏】，编写一段“存量场景优化建议”。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# Input Data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{{用户填写的存量场景描述}}及截屏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# Logic &amp; Constraints (Critical)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1. **空值判断**：首先检查【输入信息】。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 - 如果输入信息为空、为“无”、“/”或未提及具体报表，**请直接结束本次任务，不要输出任何内容，也不要生成“无存量场景”的标题。**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 - 只有当检测到具体存量场景描述时，才执行后续步骤。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2. **分析维度**：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 - **痛点诊断**：将用户描述的“不好用”、“太简单”转化为专业术语（如：缺乏多维钻取、指标单一、颗粒度过粗、缺乏闭环分析）。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 - **资产关联**：在提出建议时，必须明确关联到具体的“数据资产”或“数据对象”。例如：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   - 提到“人” -&gt; 建议关联 `t_member` 或 `CRM标签库`。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   - 提到“货” -&gt; 建议关联 `SKU属性表` 或 `库存周转率`。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   - 提到“场” -&gt; 建议关联 `区域维表` 或 `渠道归因模型`。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# Output Template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若有内容，请按以下格式输出（无需大标题，直接列出）：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**[序号]、[场景名称]**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**存在问题**：[基于输入，用精炼的语言描述现状弊端。例如：目前仅统计了XXX，缺乏对YYY的深度洞察。]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**完善建议**：[具体的数据化建议]。建议引入 **[具体的表名/数据域]** 中的 **[具体字段/指标]**，增加“[分析维度]”分析，以支撑[具体业务决策]。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---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# Example (For Reference Only)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Input: "销售报表只有金额，看不出回头客。"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Output: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**1、月度销售报表**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**存在问题**：目前仅统计了GMV金额，缺乏“复购率”等用户生命周期深度指标，无法有效评估客户粘性。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**完善建议**：建议引入 **t_member（会员表）** 中的 **注册时间** 与 **历史订单记录**，增加“新老客贡献占比”及“RFM模型”分析，辅助制定精准营销策略。</w:t>
            </w:r>
          </w:p>
        </w:tc>
      </w:tr>
      <w:tr w14:paraId="2D2B7DB5">
        <w:trPr>
          <w:trHeight w:val="4540" w:hRule="atLeast"/>
        </w:trPr>
        <w:tc>
          <w:tcPr>
            <w:tcW w:w="1121" w:type="dxa"/>
            <w:vMerge w:val="continue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2861D090"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598EC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潜在数据场景挖掘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590202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数据字段 + 行业Know-how = 潜在资产场景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逻辑：检测到有“用户ID”、“消费金额”、“消费时间”，且行业为“零售”。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推理：自动推荐“RFM模型分析”、“高价值客户流失预警”等场景。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生成内容：潜在数据应用场景评估卡片。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76C1A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D9E1F4"/>
            <w:vAlign w:val="center"/>
          </w:tcPr>
          <w:p w14:paraId="06D67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nil"/>
            </w:tcBorders>
            <w:shd w:val="clear" w:color="auto" w:fill="D9E1F4"/>
            <w:vAlign w:val="center"/>
          </w:tcPr>
          <w:p w14:paraId="4013D1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singl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提示词示例：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根据企业【行业】【主营业务】</w:t>
            </w:r>
            <w:r>
              <w:rPr>
                <w:rStyle w:val="7"/>
                <w:u w:val="single"/>
                <w:bdr w:val="none" w:color="auto" w:sz="0" w:space="0"/>
                <w:lang w:val="en-US" w:eastAsia="zh-CN" w:bidi="ar"/>
              </w:rPr>
              <w:t>【数字化平台】情况，调取【数据资源】字段；根据已知内容，挖掘5个高价值数据场景。</w:t>
            </w:r>
            <w:r>
              <w:rPr>
                <w:rStyle w:val="7"/>
                <w:u w:val="singl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u w:val="single"/>
                <w:bdr w:val="none" w:color="auto" w:sz="0" w:space="0"/>
                <w:lang w:val="en-US" w:eastAsia="zh-CN" w:bidi="ar"/>
              </w:rPr>
              <w:t>每个场景需包含【场景名称】、【场景描述】、【业务价值】、【场景成熟度评估】【数据建模规划】。</w:t>
            </w:r>
            <w:r>
              <w:rPr>
                <w:rStyle w:val="7"/>
                <w:u w:val="singl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u w:val="single"/>
                <w:bdr w:val="none" w:color="auto" w:sz="0" w:space="0"/>
                <w:lang w:val="en-US" w:eastAsia="zh-CN" w:bidi="ar"/>
              </w:rPr>
              <w:t>尤其要注意识别出每个场景可能会覆盖的数据表、核心字段，以及可能缺失的核心字段。</w:t>
            </w:r>
            <w:r>
              <w:rPr>
                <w:rStyle w:val="7"/>
                <w:u w:val="singl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u w:val="single"/>
                <w:bdr w:val="none" w:color="auto" w:sz="0" w:space="0"/>
                <w:lang w:val="en-US" w:eastAsia="zh-CN" w:bidi="ar"/>
              </w:rPr>
              <w:t>（示例见下）</w:t>
            </w:r>
          </w:p>
        </w:tc>
      </w:tr>
      <w:tr w14:paraId="7118E705">
        <w:trPr>
          <w:trHeight w:val="2300" w:hRule="atLeast"/>
        </w:trPr>
        <w:tc>
          <w:tcPr>
            <w:tcW w:w="1121" w:type="dxa"/>
            <w:vMerge w:val="restart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5665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输出层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6874C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《整体数据资产盘点工作总结》</w:t>
            </w:r>
          </w:p>
        </w:tc>
        <w:tc>
          <w:tcPr>
            <w:tcW w:w="5106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17E0A0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给管理层看的，展示数据家底及其健康状况。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EBF0FA"/>
            <w:vAlign w:val="center"/>
          </w:tcPr>
          <w:p w14:paraId="6C822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36AF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文字，支持复制</w:t>
            </w:r>
          </w:p>
        </w:tc>
        <w:tc>
          <w:tcPr>
            <w:tcW w:w="7367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51C26D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一、企业数字化情况简介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**1. 企业背景**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[简述企业主营业务及行业地位]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**2. 信息化建设现状**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[简述核心系统（ERP/CRM等）及网络架构]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**3. 业务流与数据流**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[简述数据是如何在业务链条中产生的]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## 二、数据资源统计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**数据总量**：[TB/PB级]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**数据对象**：[总表数、非结构化文件数]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**存储分布**：[主要数据库类型及分布]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**数据来源结构**：[内部生成占比 vs 外部获取占比]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## 三、数据资产情况盘点（初步）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&gt; 本次盘点重点识别出 [X] 个具备价值的数据资产（数据集）（其中已经具备应用条件的是[X]）。详细情况如下：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**（一）[数据资产名称，例如：用户流失分析数据集]**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**资产构成**：包含 **[X]** 张数据表，共计 **[X]** 个字段。主要涉及表：[列举核心表名]。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**应用场景**：[描述该数据如何赋能业务，例如：用于预测用户流失概率，指导客服进行挽留，提升续费率]。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 **</w:t>
            </w:r>
            <w:r>
              <w:rPr>
                <w:rStyle w:val="9"/>
                <w:bdr w:val="none" w:color="auto" w:sz="0" w:space="0"/>
                <w:lang w:val="en-US" w:eastAsia="zh-CN" w:bidi="ar"/>
              </w:rPr>
              <w:t>⚠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️ 数据合规风险提示**：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  - **个人信息预警**：共发现 **[X]** 个高敏感字段（[列举具体字段，如身份证号、银行卡号]），建议优先进行脱敏改造及分类分级标识。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  - **重要数据预警**：[若有则写，若无则写“暂未发现明显涉及国家安全或公共利益的重要数据特征”]。发现 [X] 处疑似涉及“[特定领域，如地理测绘]”数据，需进行专项合规评估。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 xml:space="preserve">    - **数据来源预警**：[若涉及爬虫/外部数据] 涉及公开数据爬取/外部采购，需严格审查爬取频次、User-Agent设置及授权协议完整性。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**（二）[数据资产名称，例如：供应链库存优化数据集]**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...（请根据输入信息，重复上述结构）...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---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**四、专家建议与下一步计划**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1. **合规整改**：针对上述发现的个高风险点，优先启动脱敏与匿名化工程。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2. **价值深化**：建议优先对 [价值最高的数据集名称] 进行深入加工，开发为数据产品。</w:t>
            </w:r>
          </w:p>
        </w:tc>
      </w:tr>
      <w:tr w14:paraId="3703A410">
        <w:trPr>
          <w:trHeight w:val="3480" w:hRule="atLeast"/>
        </w:trPr>
        <w:tc>
          <w:tcPr>
            <w:tcW w:w="1121" w:type="dxa"/>
            <w:vMerge w:val="continue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3BA95394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single" w:color="FFFFFF" w:sz="8" w:space="0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EBF0FA"/>
            <w:vAlign w:val="center"/>
          </w:tcPr>
          <w:p w14:paraId="69F05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《数据资产目录》</w:t>
            </w:r>
          </w:p>
        </w:tc>
        <w:tc>
          <w:tcPr>
            <w:tcW w:w="5106" w:type="dxa"/>
            <w:tcBorders>
              <w:top w:val="single" w:color="FFFFFF" w:sz="8" w:space="0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EBF0FA"/>
            <w:vAlign w:val="center"/>
          </w:tcPr>
          <w:p w14:paraId="5F927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数据资产相对应的x张表，清洗后的“干净”数据目录，企业的“数据底账”，技术、合规视角的规范化。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EBF0FA"/>
            <w:vAlign w:val="center"/>
          </w:tcPr>
          <w:p w14:paraId="6129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780" w:type="dxa"/>
            <w:tcBorders>
              <w:top w:val="single" w:color="FFFFFF" w:sz="8" w:space="0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EBF0FA"/>
            <w:vAlign w:val="center"/>
          </w:tcPr>
          <w:p w14:paraId="7F82A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Excel文档，可在线浏览、下载</w:t>
            </w:r>
          </w:p>
        </w:tc>
        <w:tc>
          <w:tcPr>
            <w:tcW w:w="7367" w:type="dxa"/>
            <w:tcBorders>
              <w:top w:val="single" w:color="FFFFFF" w:sz="8" w:space="0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EBF0FA"/>
            <w:vAlign w:val="center"/>
          </w:tcPr>
          <w:p w14:paraId="3EFFD8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Style w:val="7"/>
                <w:bdr w:val="none" w:color="auto" w:sz="0" w:space="0"/>
                <w:lang w:val="en-US" w:eastAsia="zh-CN" w:bidi="ar"/>
              </w:rPr>
              <w:t>1.信息补全：在用户原上传数据资源表基础上进行信息补充，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补充完善的信息要标蓝处理。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2.单加两列，体现“个人信息标识”“重要数据标识”，对可能构成的字段进行标注，便于后续人工排查。</w:t>
            </w:r>
          </w:p>
        </w:tc>
      </w:tr>
      <w:tr w14:paraId="1CF1BAC5">
        <w:trPr>
          <w:trHeight w:val="3480" w:hRule="atLeast"/>
        </w:trPr>
        <w:tc>
          <w:tcPr>
            <w:tcW w:w="1121" w:type="dxa"/>
            <w:vMerge w:val="continue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6A3B8EEB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6D980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《存量数据应用场景优化建议》</w:t>
            </w:r>
          </w:p>
        </w:tc>
        <w:tc>
          <w:tcPr>
            <w:tcW w:w="5106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16CA2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存量优化</w:t>
            </w:r>
          </w:p>
        </w:tc>
        <w:tc>
          <w:tcPr>
            <w:tcW w:w="948" w:type="dxa"/>
            <w:tcBorders>
              <w:top w:val="single" w:color="FFFFFF" w:sz="8" w:space="0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EBF0FA"/>
            <w:vAlign w:val="center"/>
          </w:tcPr>
          <w:p w14:paraId="24A77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02FA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卡片，支持复制</w:t>
            </w:r>
          </w:p>
        </w:tc>
        <w:tc>
          <w:tcPr>
            <w:tcW w:w="7367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2F2AB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（输入：用户填写的“现有报表/大屏”及截屏；如果用户没有填“存量场景”，就不生成该部分）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一、月度销售报表。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问题：目前仅统计了金额，缺乏“复购率”等深度指标。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完善建议：建议引入 t_member 表中的注册时间，增加“新老客贡献占比”分析。</w:t>
            </w:r>
          </w:p>
        </w:tc>
      </w:tr>
      <w:tr w14:paraId="4FD5AD31">
        <w:trPr>
          <w:trHeight w:val="3480" w:hRule="atLeast"/>
        </w:trPr>
        <w:tc>
          <w:tcPr>
            <w:tcW w:w="1121" w:type="dxa"/>
            <w:vMerge w:val="continue"/>
            <w:tcBorders>
              <w:top w:val="single" w:color="FFFFFF" w:sz="8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BF0FA"/>
            <w:vAlign w:val="center"/>
          </w:tcPr>
          <w:p w14:paraId="2061C6AE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77320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《潜在数据应用场景评估》</w:t>
            </w:r>
          </w:p>
        </w:tc>
        <w:tc>
          <w:tcPr>
            <w:tcW w:w="5106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49773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增量挖掘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4487B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05844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8090C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卡片，支持复制</w:t>
            </w:r>
          </w:p>
        </w:tc>
        <w:tc>
          <w:tcPr>
            <w:tcW w:w="7367" w:type="dxa"/>
            <w:tcBorders>
              <w:top w:val="nil"/>
              <w:left w:val="nil"/>
              <w:bottom w:val="nil"/>
              <w:right w:val="nil"/>
            </w:tcBorders>
            <w:shd w:val="clear" w:color="auto" w:fill="EBF0FA"/>
            <w:vAlign w:val="center"/>
          </w:tcPr>
          <w:p w14:paraId="1CD24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一、场景名称：高价值客户流失预警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 场景描述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基于用户最近一次消费时间、消费频率，识别高流失风险客户。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2.业务价值：高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在客户彻底停止购买前 15 天发出预警，推送高流失风险客户名单，包含“流失概率分”及“主要流失原因”，辅助客服进行挽留。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 场景成熟度评估：中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依赖数据表：last_buy_time (交易表), login_freq (日志表), complain_cnt (客服表)。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覆盖核心字段：用户ID， 注册时间, 最近一次购买。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关键缺失字段：缺失“用户行为日志”和“客服投诉记录”。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结论：当前数据仅能支持“基于交易衰退的滞后预警”，无法实现“基于体验下降的提前预警”。建议优先接入客服系统数据。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 数据建模规划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（1）输入层：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基础属性：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t_user.age, t_user.gender (来自：用户基础表) —— 用于画像分群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RFM 特征：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Recency (最近一次购买距今天数)：基于 t_order.pay_time 计算。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Frequency (过去90天购买次数)：基于 t_order.order_id 计数。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Monetary (过去90天总金额)：基于 t_order.amt 求和。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行为特征：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t_log.login_cnt (过去30天登录次数趋势)：下降通常意味着流失风险。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t_return.return_cnt (退货/投诉次数)：高敏感指标。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（2）处理层：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标签定义 (Target - Y)：定义“流失”为“连续 60 天无消费”。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算法策略：建议采用 XGBoost 或 逻辑回归（LR）模型，计算每个用户的 P(churn)。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规则兜底：若模型冷启动困难，先采用规则策略（如：R &gt; 60天 且 投诉 &gt; 1次）。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（3）输出层：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高风险 (Score &gt; 0.8) -&gt; 推送至 CRM 待办任务，发放 50 元大额券。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中风险 (Score 0.5-0.8) -&gt; 短信关怀触达。</w:t>
            </w:r>
          </w:p>
        </w:tc>
      </w:tr>
    </w:tbl>
    <w:p w14:paraId="1EA0229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F5B78"/>
    <w:rsid w:val="79EF5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default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5">
    <w:name w:val="font71"/>
    <w:basedOn w:val="3"/>
    <w:uiPriority w:val="0"/>
    <w:rPr>
      <w:rFonts w:hint="default" w:ascii="微软雅黑" w:hAnsi="微软雅黑" w:eastAsia="微软雅黑" w:cs="微软雅黑"/>
      <w:b/>
      <w:bCs/>
      <w:color w:val="FF0000"/>
      <w:sz w:val="20"/>
      <w:szCs w:val="20"/>
      <w:u w:val="none"/>
    </w:rPr>
  </w:style>
  <w:style w:type="character" w:customStyle="1" w:styleId="6">
    <w:name w:val="font91"/>
    <w:basedOn w:val="3"/>
    <w:uiPriority w:val="0"/>
    <w:rPr>
      <w:rFonts w:hint="default" w:ascii="微软雅黑" w:hAnsi="微软雅黑" w:eastAsia="微软雅黑" w:cs="微软雅黑"/>
      <w:color w:val="000000"/>
      <w:sz w:val="20"/>
      <w:szCs w:val="20"/>
      <w:u w:val="single"/>
    </w:rPr>
  </w:style>
  <w:style w:type="character" w:customStyle="1" w:styleId="7">
    <w:name w:val="font31"/>
    <w:basedOn w:val="3"/>
    <w:uiPriority w:val="0"/>
    <w:rPr>
      <w:rFonts w:hint="default" w:ascii="微软雅黑" w:hAnsi="微软雅黑" w:eastAsia="微软雅黑" w:cs="微软雅黑"/>
      <w:color w:val="08090C"/>
      <w:sz w:val="20"/>
      <w:szCs w:val="20"/>
      <w:u w:val="none"/>
    </w:rPr>
  </w:style>
  <w:style w:type="character" w:customStyle="1" w:styleId="8">
    <w:name w:val="font81"/>
    <w:basedOn w:val="3"/>
    <w:uiPriority w:val="0"/>
    <w:rPr>
      <w:rFonts w:hint="default" w:ascii="微软雅黑" w:hAnsi="微软雅黑" w:eastAsia="微软雅黑" w:cs="微软雅黑"/>
      <w:color w:val="08090C"/>
      <w:sz w:val="20"/>
      <w:szCs w:val="20"/>
      <w:u w:val="single"/>
    </w:rPr>
  </w:style>
  <w:style w:type="character" w:customStyle="1" w:styleId="9">
    <w:name w:val="font101"/>
    <w:basedOn w:val="3"/>
    <w:uiPriority w:val="0"/>
    <w:rPr>
      <w:rFonts w:ascii="宋体-简" w:hAnsi="宋体-简" w:eastAsia="宋体-简" w:cs="宋体-简"/>
      <w:color w:val="08090C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Office_12.1.24663.24663_F1E327BC-269C-435d-A152-05C5408002CA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2026-01-06T22:57:00Z</dcterms:created>
  <dc:creator>test</dc:creator>
  <cp:lastModifiedBy>test</cp:lastModifiedBy>
  <dcterms:modified xsi:type="dcterms:W3CDTF">2026-01-06T23:02:08Z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2052-12.1.24663.24663</vt:lpwstr>
  </property>
  <property fmtid="{D5CDD505-2E9C-101B-9397-08002B2CF9AE}" pid="3" name="ICV">
    <vt:lpwstr>6C0B69CFE6183C8AE9225D69E810D193_41</vt:lpwstr>
  </property>
</Properties>
</file>